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49" w:rsidRPr="006E58DB" w:rsidRDefault="00731349" w:rsidP="00731349">
      <w:pPr>
        <w:pStyle w:val="Header"/>
        <w:rPr>
          <w:caps/>
          <w:color w:val="968F8B"/>
        </w:rPr>
      </w:pPr>
      <w:r w:rsidRPr="006E58DB">
        <w:rPr>
          <w:caps/>
          <w:noProof/>
          <w:color w:val="968F8B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0FE09EE6" wp14:editId="373C8425">
                <wp:simplePos x="0" y="0"/>
                <wp:positionH relativeFrom="page">
                  <wp:posOffset>676275</wp:posOffset>
                </wp:positionH>
                <wp:positionV relativeFrom="page">
                  <wp:posOffset>714375</wp:posOffset>
                </wp:positionV>
                <wp:extent cx="6477635" cy="1009650"/>
                <wp:effectExtent l="0" t="0" r="18415" b="0"/>
                <wp:wrapNone/>
                <wp:docPr id="8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63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1D4485" w:rsidRPr="001D4485" w:rsidRDefault="001917AA" w:rsidP="001917AA">
                            <w:pPr>
                              <w:pStyle w:val="MSCIheadertext"/>
                              <w:jc w:val="center"/>
                              <w:rPr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  <w:t>DEELNEMERSLIJST</w:t>
                            </w:r>
                            <w:r w:rsidR="001D4485" w:rsidRPr="001D4485">
                              <w:rPr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  <w:p w:rsidR="00731349" w:rsidRPr="001D4485" w:rsidRDefault="001917AA" w:rsidP="001917AA">
                            <w:pPr>
                              <w:pStyle w:val="MSCIheadertext"/>
                              <w:jc w:val="center"/>
                              <w:rPr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1917AA">
                              <w:rPr>
                                <w:color w:val="1F497D" w:themeColor="text2"/>
                                <w:sz w:val="36"/>
                                <w:szCs w:val="36"/>
                              </w:rPr>
                              <w:t>Marktpresentatie IPD Nederlandse Jaar Corporatie Vastgoedindex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53.25pt;margin-top:56.25pt;width:510.0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" filled="f" stroked="f">
                <v:textbox inset="0,0,0,0">
                  <w:txbxContent>
                    <w:p w:rsidR="001D4485" w:rsidRPr="001D4485" w:rsidRDefault="001917AA" w:rsidP="001917AA">
                      <w:pPr>
                        <w:pStyle w:val="MSCIheadertext"/>
                        <w:jc w:val="center"/>
                        <w:rPr>
                          <w:b/>
                          <w:color w:val="1F497D" w:themeColor="text2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1F497D" w:themeColor="text2"/>
                          <w:sz w:val="44"/>
                          <w:szCs w:val="44"/>
                        </w:rPr>
                        <w:t>DEELNEMERSLIJST</w:t>
                      </w:r>
                      <w:r w:rsidR="001D4485" w:rsidRPr="001D4485">
                        <w:rPr>
                          <w:b/>
                          <w:color w:val="1F497D" w:themeColor="text2"/>
                          <w:sz w:val="44"/>
                          <w:szCs w:val="44"/>
                        </w:rPr>
                        <w:t>:</w:t>
                      </w:r>
                    </w:p>
                    <w:p w:rsidR="00731349" w:rsidRPr="001D4485" w:rsidRDefault="001917AA" w:rsidP="001917AA">
                      <w:pPr>
                        <w:pStyle w:val="MSCIheadertext"/>
                        <w:jc w:val="center"/>
                        <w:rPr>
                          <w:color w:val="1F497D" w:themeColor="text2"/>
                          <w:sz w:val="36"/>
                          <w:szCs w:val="36"/>
                        </w:rPr>
                      </w:pPr>
                      <w:r w:rsidRPr="001917AA">
                        <w:rPr>
                          <w:color w:val="1F497D" w:themeColor="text2"/>
                          <w:sz w:val="36"/>
                          <w:szCs w:val="36"/>
                        </w:rPr>
                        <w:t>Marktpresentatie IPD Nederlandse Jaar Corporatie Vastgoedindex 2015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6E58DB">
        <w:rPr>
          <w:caps/>
          <w:noProof/>
          <w:color w:val="968F8B"/>
          <w:lang w:val="en-GB" w:eastAsia="en-GB"/>
        </w:rPr>
        <w:drawing>
          <wp:anchor distT="0" distB="0" distL="114300" distR="114300" simplePos="0" relativeHeight="251659264" behindDoc="0" locked="1" layoutInCell="1" allowOverlap="1" wp14:anchorId="27A647D3" wp14:editId="311E2EF6">
            <wp:simplePos x="0" y="0"/>
            <wp:positionH relativeFrom="page">
              <wp:posOffset>390525</wp:posOffset>
            </wp:positionH>
            <wp:positionV relativeFrom="page">
              <wp:posOffset>202565</wp:posOffset>
            </wp:positionV>
            <wp:extent cx="1645920" cy="442595"/>
            <wp:effectExtent l="0" t="0" r="0" b="0"/>
            <wp:wrapNone/>
            <wp:docPr id="7" name="Picture 51" descr="Macintosh HD:Users:mohm:Desktop:MSCI:MSCI_NewBlueLog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ohm:Desktop:MSCI:MSCI_NewBlueLogo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C0C">
        <w:rPr>
          <w:caps/>
          <w:color w:val="968F8B"/>
        </w:rPr>
        <w:t>c</w:t>
      </w:r>
    </w:p>
    <w:p w:rsidR="00731349" w:rsidRDefault="00731349" w:rsidP="00731349"/>
    <w:p w:rsidR="001D4485" w:rsidRDefault="001D4485" w:rsidP="00731349"/>
    <w:p w:rsidR="001917AA" w:rsidRDefault="005A54F0">
      <w:r>
        <w:br/>
      </w:r>
    </w:p>
    <w:tbl>
      <w:tblPr>
        <w:tblW w:w="6394" w:type="dxa"/>
        <w:tblInd w:w="93" w:type="dxa"/>
        <w:tblLook w:val="04A0" w:firstRow="1" w:lastRow="0" w:firstColumn="1" w:lastColumn="0" w:noHBand="0" w:noVBand="1"/>
      </w:tblPr>
      <w:tblGrid>
        <w:gridCol w:w="10193"/>
      </w:tblGrid>
      <w:tr w:rsidR="001917AA" w:rsidRPr="001917AA" w:rsidTr="005A54F0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967" w:type="dxa"/>
              <w:tblLook w:val="04A0" w:firstRow="1" w:lastRow="0" w:firstColumn="1" w:lastColumn="0" w:noHBand="0" w:noVBand="1"/>
            </w:tblPr>
            <w:tblGrid>
              <w:gridCol w:w="4438"/>
              <w:gridCol w:w="5529"/>
            </w:tblGrid>
            <w:tr w:rsidR="005A54F0" w:rsidRPr="005A54F0" w:rsidTr="003E4743">
              <w:trPr>
                <w:trHeight w:val="255"/>
              </w:trPr>
              <w:tc>
                <w:tcPr>
                  <w:tcW w:w="9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b/>
                      <w:caps/>
                      <w:color w:val="1F497D" w:themeColor="text2"/>
                      <w:sz w:val="28"/>
                      <w:szCs w:val="28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b/>
                      <w:caps/>
                      <w:color w:val="1F497D" w:themeColor="text2"/>
                      <w:sz w:val="28"/>
                      <w:szCs w:val="28"/>
                      <w:lang w:val="en-US"/>
                    </w:rPr>
                    <w:t>Organization</w:t>
                  </w:r>
                </w:p>
              </w:tc>
            </w:tr>
            <w:tr w:rsidR="005A54F0" w:rsidRPr="005A54F0" w:rsidTr="005A54F0">
              <w:trPr>
                <w:trHeight w:val="2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Achmea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E32A09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Portaal</w:t>
                  </w:r>
                </w:p>
              </w:tc>
            </w:tr>
            <w:tr w:rsidR="005A54F0" w:rsidRPr="005A54F0" w:rsidTr="005A54F0">
              <w:trPr>
                <w:trHeight w:val="2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proofErr w:type="spellStart"/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Aedes</w:t>
                  </w:r>
                  <w:proofErr w:type="spellEnd"/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E32A09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PwC Advisory</w:t>
                  </w:r>
                </w:p>
              </w:tc>
            </w:tr>
            <w:tr w:rsidR="005A54F0" w:rsidRPr="005A54F0" w:rsidTr="005A54F0">
              <w:trPr>
                <w:trHeight w:val="2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Alliantie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E32A09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Rabobank Nederland</w:t>
                  </w:r>
                </w:p>
              </w:tc>
            </w:tr>
            <w:tr w:rsidR="005A54F0" w:rsidRPr="005A54F0" w:rsidTr="005A54F0">
              <w:trPr>
                <w:trHeight w:val="2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Almazara  Real Assets Advisory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Rijswijk Wonen</w:t>
                  </w:r>
                </w:p>
              </w:tc>
            </w:tr>
            <w:tr w:rsidR="005A54F0" w:rsidRPr="005A54F0" w:rsidTr="005A54F0">
              <w:trPr>
                <w:trHeight w:val="2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Amsterdam School of Real Estate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E32A09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Savills</w:t>
                  </w:r>
                </w:p>
              </w:tc>
            </w:tr>
            <w:tr w:rsidR="005A54F0" w:rsidRPr="005A54F0" w:rsidTr="005A54F0">
              <w:trPr>
                <w:trHeight w:val="2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proofErr w:type="spellStart"/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Amvest</w:t>
                  </w:r>
                  <w:proofErr w:type="spellEnd"/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E32A09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Seminars op maat</w:t>
                  </w:r>
                </w:p>
              </w:tc>
            </w:tr>
            <w:tr w:rsidR="005A54F0" w:rsidRPr="005A54F0" w:rsidTr="005A54F0">
              <w:trPr>
                <w:trHeight w:val="2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Arcade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54F0" w:rsidRPr="005A54F0" w:rsidRDefault="005A54F0" w:rsidP="00E32A09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Staedion</w:t>
                  </w:r>
                </w:p>
              </w:tc>
            </w:tr>
            <w:tr w:rsidR="005A54F0" w:rsidRPr="005A54F0" w:rsidTr="005A54F0">
              <w:trPr>
                <w:trHeight w:val="2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Blue Sky Group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E32A09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Stichting aeDex</w:t>
                  </w:r>
                </w:p>
              </w:tc>
            </w:tr>
            <w:tr w:rsidR="005A54F0" w:rsidRPr="005A54F0" w:rsidTr="005A54F0">
              <w:trPr>
                <w:trHeight w:val="2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proofErr w:type="spellStart"/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Calcasa</w:t>
                  </w:r>
                  <w:proofErr w:type="spellEnd"/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E32A09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Stichting corporatie vastgoedindex</w:t>
                  </w:r>
                </w:p>
              </w:tc>
            </w:tr>
            <w:tr w:rsidR="005A54F0" w:rsidRPr="005A54F0" w:rsidTr="005A54F0">
              <w:trPr>
                <w:trHeight w:val="2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Capital Value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Stichting Vivare</w:t>
                  </w:r>
                </w:p>
              </w:tc>
            </w:tr>
            <w:tr w:rsidR="005A54F0" w:rsidRPr="005A54F0" w:rsidTr="005A54F0">
              <w:trPr>
                <w:trHeight w:val="2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 xml:space="preserve">Capital Value </w:t>
                  </w:r>
                  <w:proofErr w:type="spellStart"/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Taxaties</w:t>
                  </w:r>
                  <w:proofErr w:type="spellEnd"/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 xml:space="preserve"> B.V.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E32A09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Sweco capital consultants</w:t>
                  </w:r>
                </w:p>
              </w:tc>
            </w:tr>
            <w:tr w:rsidR="005A54F0" w:rsidRPr="005A54F0" w:rsidTr="005A54F0">
              <w:trPr>
                <w:trHeight w:val="2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CBRE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E32A09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Syntrus Achmea Real Estate &amp; Finance</w:t>
                  </w:r>
                </w:p>
              </w:tc>
            </w:tr>
            <w:tr w:rsidR="005A54F0" w:rsidRPr="005A54F0" w:rsidTr="005A54F0">
              <w:trPr>
                <w:trHeight w:val="2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CBRE Global Investors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E32A09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Talis</w:t>
                  </w:r>
                </w:p>
              </w:tc>
            </w:tr>
            <w:tr w:rsidR="005A54F0" w:rsidRPr="005A54F0" w:rsidTr="005A54F0">
              <w:trPr>
                <w:trHeight w:val="2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CBRE Valuation Advisory BV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E32A09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TKV advies</w:t>
                  </w:r>
                </w:p>
              </w:tc>
            </w:tr>
            <w:tr w:rsidR="005A54F0" w:rsidRPr="005A54F0" w:rsidTr="005A54F0">
              <w:trPr>
                <w:trHeight w:val="2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Colliers International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E32A09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Troostwijk Taxaties</w:t>
                  </w:r>
                </w:p>
              </w:tc>
            </w:tr>
            <w:tr w:rsidR="005A54F0" w:rsidRPr="005A54F0" w:rsidTr="005A54F0">
              <w:trPr>
                <w:trHeight w:val="2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proofErr w:type="spellStart"/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Corporatiekracht</w:t>
                  </w:r>
                  <w:proofErr w:type="spellEnd"/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E32A09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Vastgoedsturing</w:t>
                  </w:r>
                </w:p>
              </w:tc>
            </w:tr>
            <w:tr w:rsidR="005A54F0" w:rsidRPr="005A54F0" w:rsidTr="005A54F0">
              <w:trPr>
                <w:trHeight w:val="294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 xml:space="preserve">De </w:t>
                  </w:r>
                  <w:proofErr w:type="spellStart"/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Corporatiestrateeg</w:t>
                  </w:r>
                  <w:proofErr w:type="spellEnd"/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E32A09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Vesteda Investement Manager</w:t>
                  </w:r>
                </w:p>
              </w:tc>
            </w:tr>
            <w:tr w:rsidR="005A54F0" w:rsidRPr="005A54F0" w:rsidTr="005A54F0">
              <w:trPr>
                <w:trHeight w:val="2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 xml:space="preserve">De </w:t>
                  </w:r>
                  <w:proofErr w:type="spellStart"/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Woonplaats</w:t>
                  </w:r>
                  <w:proofErr w:type="spellEnd"/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E32A09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Vestia</w:t>
                  </w:r>
                </w:p>
              </w:tc>
            </w:tr>
            <w:tr w:rsidR="005A54F0" w:rsidRPr="005A54F0" w:rsidTr="005A54F0">
              <w:trPr>
                <w:trHeight w:val="2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 xml:space="preserve">DELA </w:t>
                  </w:r>
                  <w:proofErr w:type="spellStart"/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Vastgoed</w:t>
                  </w:r>
                  <w:proofErr w:type="spellEnd"/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E32A09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Vidomes</w:t>
                  </w:r>
                </w:p>
              </w:tc>
            </w:tr>
            <w:tr w:rsidR="005A54F0" w:rsidRPr="005A54F0" w:rsidTr="005A54F0">
              <w:trPr>
                <w:trHeight w:val="2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 xml:space="preserve">DTZ </w:t>
                  </w:r>
                  <w:proofErr w:type="spellStart"/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Zadelhoff</w:t>
                  </w:r>
                  <w:proofErr w:type="spellEnd"/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E32A09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Vivare</w:t>
                  </w:r>
                </w:p>
              </w:tc>
            </w:tr>
            <w:tr w:rsidR="005A54F0" w:rsidRPr="005A54F0" w:rsidTr="005A54F0">
              <w:trPr>
                <w:trHeight w:val="2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proofErr w:type="spellStart"/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Dudok</w:t>
                  </w:r>
                  <w:proofErr w:type="spellEnd"/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 xml:space="preserve"> </w:t>
                  </w:r>
                  <w:proofErr w:type="spellStart"/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Wonen</w:t>
                  </w:r>
                  <w:proofErr w:type="spellEnd"/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E32A09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Viverion</w:t>
                  </w:r>
                </w:p>
              </w:tc>
            </w:tr>
            <w:tr w:rsidR="005A54F0" w:rsidRPr="005A54F0" w:rsidTr="005A54F0">
              <w:trPr>
                <w:trHeight w:val="2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Dynamis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bookmarkStart w:id="0" w:name="_GoBack"/>
                  <w:bookmarkEnd w:id="0"/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WonenBreburg</w:t>
                  </w:r>
                </w:p>
              </w:tc>
            </w:tr>
            <w:tr w:rsidR="005A54F0" w:rsidRPr="005A54F0" w:rsidTr="005A54F0">
              <w:trPr>
                <w:trHeight w:val="2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EFL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Woonbron</w:t>
                  </w:r>
                </w:p>
              </w:tc>
            </w:tr>
            <w:tr w:rsidR="005A54F0" w:rsidRPr="005A54F0" w:rsidTr="005A54F0">
              <w:trPr>
                <w:trHeight w:val="2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 xml:space="preserve">Eigen </w:t>
                  </w:r>
                  <w:proofErr w:type="spellStart"/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Haard</w:t>
                  </w:r>
                  <w:proofErr w:type="spellEnd"/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Woonpartners Midden-Holland</w:t>
                  </w:r>
                </w:p>
              </w:tc>
            </w:tr>
            <w:tr w:rsidR="005A54F0" w:rsidRPr="005A54F0" w:rsidTr="005A54F0">
              <w:trPr>
                <w:trHeight w:val="2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 xml:space="preserve">Elan </w:t>
                  </w:r>
                  <w:proofErr w:type="spellStart"/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Wonen</w:t>
                  </w:r>
                  <w:proofErr w:type="spellEnd"/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 </w:t>
                  </w:r>
                </w:p>
              </w:tc>
            </w:tr>
            <w:tr w:rsidR="005A54F0" w:rsidRPr="005A54F0" w:rsidTr="005A54F0">
              <w:trPr>
                <w:trHeight w:val="2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EY Real Estate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 </w:t>
                  </w:r>
                </w:p>
              </w:tc>
            </w:tr>
            <w:tr w:rsidR="005A54F0" w:rsidRPr="005A54F0" w:rsidTr="005A54F0">
              <w:trPr>
                <w:trHeight w:val="2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proofErr w:type="spellStart"/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Fakton</w:t>
                  </w:r>
                  <w:proofErr w:type="spellEnd"/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 </w:t>
                  </w:r>
                </w:p>
              </w:tc>
            </w:tr>
            <w:tr w:rsidR="005A54F0" w:rsidRPr="005A54F0" w:rsidTr="005A54F0">
              <w:trPr>
                <w:trHeight w:val="2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Finance Ideas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 </w:t>
                  </w:r>
                </w:p>
              </w:tc>
            </w:tr>
            <w:tr w:rsidR="005A54F0" w:rsidRPr="005A54F0" w:rsidTr="005A54F0">
              <w:trPr>
                <w:trHeight w:val="2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proofErr w:type="spellStart"/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Habion</w:t>
                  </w:r>
                  <w:proofErr w:type="spellEnd"/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 </w:t>
                  </w:r>
                </w:p>
              </w:tc>
            </w:tr>
            <w:tr w:rsidR="005A54F0" w:rsidRPr="005A54F0" w:rsidTr="005A54F0">
              <w:trPr>
                <w:trHeight w:val="2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proofErr w:type="spellStart"/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Handelsbanken</w:t>
                  </w:r>
                  <w:proofErr w:type="spellEnd"/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 </w:t>
                  </w:r>
                </w:p>
              </w:tc>
            </w:tr>
            <w:tr w:rsidR="005A54F0" w:rsidRPr="005A54F0" w:rsidTr="005A54F0">
              <w:trPr>
                <w:trHeight w:val="2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IVBN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 </w:t>
                  </w:r>
                </w:p>
              </w:tc>
            </w:tr>
            <w:tr w:rsidR="005A54F0" w:rsidRPr="005A54F0" w:rsidTr="005A54F0">
              <w:trPr>
                <w:trHeight w:val="2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KOVON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 </w:t>
                  </w:r>
                </w:p>
              </w:tc>
            </w:tr>
            <w:tr w:rsidR="005A54F0" w:rsidRPr="005A54F0" w:rsidTr="005A54F0">
              <w:trPr>
                <w:trHeight w:val="2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LaSalle Investment Management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 </w:t>
                  </w:r>
                </w:p>
              </w:tc>
            </w:tr>
            <w:tr w:rsidR="005A54F0" w:rsidRPr="005A54F0" w:rsidTr="005A54F0">
              <w:trPr>
                <w:trHeight w:val="2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proofErr w:type="spellStart"/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Lefier</w:t>
                  </w:r>
                  <w:proofErr w:type="spellEnd"/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 </w:t>
                  </w:r>
                </w:p>
              </w:tc>
            </w:tr>
            <w:tr w:rsidR="005A54F0" w:rsidRPr="005A54F0" w:rsidTr="005A54F0">
              <w:trPr>
                <w:trHeight w:val="2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MB Consultancy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 </w:t>
                  </w:r>
                </w:p>
              </w:tc>
            </w:tr>
            <w:tr w:rsidR="005A54F0" w:rsidRPr="005A54F0" w:rsidTr="005A54F0">
              <w:trPr>
                <w:trHeight w:val="2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proofErr w:type="spellStart"/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Mitros</w:t>
                  </w:r>
                  <w:proofErr w:type="spellEnd"/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 </w:t>
                  </w:r>
                </w:p>
              </w:tc>
            </w:tr>
            <w:tr w:rsidR="005A54F0" w:rsidRPr="005A54F0" w:rsidTr="005A54F0">
              <w:trPr>
                <w:trHeight w:val="2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MN Services NV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 </w:t>
                  </w:r>
                </w:p>
              </w:tc>
            </w:tr>
            <w:tr w:rsidR="005A54F0" w:rsidRPr="005A54F0" w:rsidTr="005A54F0">
              <w:trPr>
                <w:trHeight w:val="2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Montesquieu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 </w:t>
                  </w:r>
                </w:p>
              </w:tc>
            </w:tr>
            <w:tr w:rsidR="005A54F0" w:rsidRPr="005A54F0" w:rsidTr="005A54F0">
              <w:trPr>
                <w:trHeight w:val="2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 xml:space="preserve">MVGM </w:t>
                  </w:r>
                  <w:proofErr w:type="spellStart"/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Vastgoedtaxaties</w:t>
                  </w:r>
                  <w:proofErr w:type="spellEnd"/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 xml:space="preserve"> BV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 </w:t>
                  </w:r>
                </w:p>
              </w:tc>
            </w:tr>
            <w:tr w:rsidR="005A54F0" w:rsidRPr="005A54F0" w:rsidTr="005A54F0">
              <w:trPr>
                <w:trHeight w:val="2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NRP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 </w:t>
                  </w:r>
                </w:p>
              </w:tc>
            </w:tr>
            <w:tr w:rsidR="005A54F0" w:rsidRPr="005A54F0" w:rsidTr="005A54F0">
              <w:trPr>
                <w:trHeight w:val="2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 xml:space="preserve">Omnia </w:t>
                  </w:r>
                  <w:proofErr w:type="spellStart"/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Wonen</w:t>
                  </w:r>
                  <w:proofErr w:type="spellEnd"/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 </w:t>
                  </w:r>
                </w:p>
              </w:tc>
            </w:tr>
            <w:tr w:rsidR="005A54F0" w:rsidRPr="005A54F0" w:rsidTr="005A54F0">
              <w:trPr>
                <w:trHeight w:val="2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proofErr w:type="spellStart"/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Panta</w:t>
                  </w:r>
                  <w:proofErr w:type="spellEnd"/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 xml:space="preserve"> </w:t>
                  </w:r>
                  <w:proofErr w:type="spellStart"/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Rhei</w:t>
                  </w:r>
                  <w:proofErr w:type="spellEnd"/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 xml:space="preserve"> Partners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 </w:t>
                  </w:r>
                </w:p>
              </w:tc>
            </w:tr>
            <w:tr w:rsidR="005A54F0" w:rsidRPr="005A54F0" w:rsidTr="005A54F0">
              <w:trPr>
                <w:trHeight w:val="2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proofErr w:type="spellStart"/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Planbureau</w:t>
                  </w:r>
                  <w:proofErr w:type="spellEnd"/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 xml:space="preserve"> </w:t>
                  </w:r>
                  <w:proofErr w:type="spellStart"/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voor</w:t>
                  </w:r>
                  <w:proofErr w:type="spellEnd"/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 xml:space="preserve"> de </w:t>
                  </w:r>
                  <w:proofErr w:type="spellStart"/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Leefomgeving</w:t>
                  </w:r>
                  <w:proofErr w:type="spellEnd"/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54F0" w:rsidRPr="005A54F0" w:rsidRDefault="005A54F0" w:rsidP="005A54F0">
                  <w:pPr>
                    <w:spacing w:after="0" w:line="240" w:lineRule="auto"/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</w:pPr>
                  <w:r w:rsidRPr="005A54F0">
                    <w:rPr>
                      <w:rFonts w:eastAsiaTheme="minorEastAsia" w:cstheme="minorHAnsi"/>
                      <w:caps/>
                      <w:color w:val="1F497D" w:themeColor="text2"/>
                      <w:lang w:val="en-US"/>
                    </w:rPr>
                    <w:t> </w:t>
                  </w:r>
                </w:p>
              </w:tc>
            </w:tr>
          </w:tbl>
          <w:p w:rsidR="001917AA" w:rsidRPr="001917AA" w:rsidRDefault="001917AA" w:rsidP="005A54F0">
            <w:pPr>
              <w:spacing w:after="0" w:line="240" w:lineRule="auto"/>
              <w:rPr>
                <w:rFonts w:eastAsiaTheme="minorEastAsia" w:cstheme="minorHAnsi"/>
                <w:b/>
                <w:caps/>
                <w:color w:val="1F497D" w:themeColor="text2"/>
                <w:sz w:val="24"/>
                <w:szCs w:val="24"/>
                <w:lang w:val="en-US"/>
              </w:rPr>
            </w:pPr>
          </w:p>
        </w:tc>
      </w:tr>
    </w:tbl>
    <w:p w:rsidR="001917AA" w:rsidRPr="005A54F0" w:rsidRDefault="001917AA" w:rsidP="005A54F0">
      <w:pPr>
        <w:rPr>
          <w:rFonts w:eastAsiaTheme="minorEastAsia" w:cstheme="minorHAnsi"/>
          <w:caps/>
          <w:color w:val="1F497D" w:themeColor="text2"/>
          <w:lang w:val="en-US"/>
        </w:rPr>
      </w:pPr>
    </w:p>
    <w:sectPr w:rsidR="001917AA" w:rsidRPr="005A54F0" w:rsidSect="007313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32947"/>
    <w:multiLevelType w:val="hybridMultilevel"/>
    <w:tmpl w:val="6A604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20625"/>
    <w:multiLevelType w:val="hybridMultilevel"/>
    <w:tmpl w:val="C8867A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B77FE"/>
    <w:multiLevelType w:val="hybridMultilevel"/>
    <w:tmpl w:val="3C0AD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62845"/>
    <w:multiLevelType w:val="hybridMultilevel"/>
    <w:tmpl w:val="40C42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005DB"/>
    <w:multiLevelType w:val="hybridMultilevel"/>
    <w:tmpl w:val="A3FC7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49"/>
    <w:rsid w:val="00115029"/>
    <w:rsid w:val="00121EA1"/>
    <w:rsid w:val="001917AA"/>
    <w:rsid w:val="001D4485"/>
    <w:rsid w:val="00445F16"/>
    <w:rsid w:val="005A54F0"/>
    <w:rsid w:val="00615C0C"/>
    <w:rsid w:val="00731349"/>
    <w:rsid w:val="007A5DF7"/>
    <w:rsid w:val="007C4B9E"/>
    <w:rsid w:val="00941163"/>
    <w:rsid w:val="00CE54DD"/>
    <w:rsid w:val="00D74F91"/>
    <w:rsid w:val="00E3286E"/>
    <w:rsid w:val="00E7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31349"/>
    <w:pPr>
      <w:tabs>
        <w:tab w:val="center" w:pos="4320"/>
        <w:tab w:val="right" w:pos="8640"/>
      </w:tabs>
      <w:spacing w:after="0" w:line="240" w:lineRule="auto"/>
    </w:pPr>
    <w:rPr>
      <w:rFonts w:eastAsiaTheme="minorEastAsia" w:cstheme="minorHAns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31349"/>
    <w:rPr>
      <w:rFonts w:eastAsiaTheme="minorEastAsia" w:cstheme="minorHAnsi"/>
      <w:sz w:val="24"/>
      <w:szCs w:val="24"/>
      <w:lang w:val="en-US"/>
    </w:rPr>
  </w:style>
  <w:style w:type="paragraph" w:customStyle="1" w:styleId="MSCIheadertext">
    <w:name w:val="MSCI header text"/>
    <w:basedOn w:val="Normal"/>
    <w:rsid w:val="00731349"/>
    <w:pPr>
      <w:spacing w:after="0" w:line="240" w:lineRule="auto"/>
      <w:jc w:val="right"/>
    </w:pPr>
    <w:rPr>
      <w:rFonts w:eastAsiaTheme="minorEastAsia" w:cstheme="minorHAnsi"/>
      <w:caps/>
      <w:color w:val="4BACC6" w:themeColor="accent5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313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4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54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31349"/>
    <w:pPr>
      <w:tabs>
        <w:tab w:val="center" w:pos="4320"/>
        <w:tab w:val="right" w:pos="8640"/>
      </w:tabs>
      <w:spacing w:after="0" w:line="240" w:lineRule="auto"/>
    </w:pPr>
    <w:rPr>
      <w:rFonts w:eastAsiaTheme="minorEastAsia" w:cstheme="minorHAns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31349"/>
    <w:rPr>
      <w:rFonts w:eastAsiaTheme="minorEastAsia" w:cstheme="minorHAnsi"/>
      <w:sz w:val="24"/>
      <w:szCs w:val="24"/>
      <w:lang w:val="en-US"/>
    </w:rPr>
  </w:style>
  <w:style w:type="paragraph" w:customStyle="1" w:styleId="MSCIheadertext">
    <w:name w:val="MSCI header text"/>
    <w:basedOn w:val="Normal"/>
    <w:rsid w:val="00731349"/>
    <w:pPr>
      <w:spacing w:after="0" w:line="240" w:lineRule="auto"/>
      <w:jc w:val="right"/>
    </w:pPr>
    <w:rPr>
      <w:rFonts w:eastAsiaTheme="minorEastAsia" w:cstheme="minorHAnsi"/>
      <w:caps/>
      <w:color w:val="4BACC6" w:themeColor="accent5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313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4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54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MSCI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Moy, Anica</dc:creator>
  <cp:lastModifiedBy>Moy, Anica</cp:lastModifiedBy>
  <cp:revision>2</cp:revision>
  <dcterms:created xsi:type="dcterms:W3CDTF">2016-03-09T12:35:00Z</dcterms:created>
  <dcterms:modified xsi:type="dcterms:W3CDTF">2016-03-09T12:35:00Z</dcterms:modified>
</cp:coreProperties>
</file>